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Arial" w:hAnsi="Arial" w:cs="Arial"/>
          <w:sz w:val="24"/>
          <w:szCs w:val="24"/>
          <w:lang w:val="es-ES"/>
        </w:rPr>
        <w:t xml:space="preserve">La </w:t>
      </w:r>
      <w:r w:rsidRPr="00611228">
        <w:rPr>
          <w:rFonts w:ascii="Arial" w:hAnsi="Arial" w:cs="Arial"/>
          <w:b/>
          <w:bCs/>
          <w:sz w:val="24"/>
          <w:szCs w:val="24"/>
          <w:lang w:val="es-ES"/>
        </w:rPr>
        <w:t>accesibilidad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no es un extra: es la base de una experiencia justa y usable para todas las personas. Este </w:t>
      </w:r>
      <w:proofErr w:type="spellStart"/>
      <w:r w:rsidRPr="00611228">
        <w:rPr>
          <w:rFonts w:ascii="Arial" w:hAnsi="Arial" w:cs="Arial"/>
          <w:i/>
          <w:iCs/>
          <w:sz w:val="24"/>
          <w:szCs w:val="24"/>
          <w:lang w:val="es-ES"/>
        </w:rPr>
        <w:t>checklist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resume los puntos esenciales de WCAG 2.2 (nivel AA) para revisar en minutos lo que más impacta: legibilidad, navegación con teclado y foco visible, objetivos táctiles, formularios claros y contenido alternativo. Úsalo en cada entrega—diseño, contenido y desarrollo—para reducir fricción, aumentar conversión y construir marcas más </w:t>
      </w:r>
      <w:r w:rsidRPr="00611228">
        <w:rPr>
          <w:rFonts w:ascii="Arial" w:hAnsi="Arial" w:cs="Arial"/>
          <w:sz w:val="24"/>
          <w:szCs w:val="24"/>
          <w:lang w:val="es-ES"/>
        </w:rPr>
        <w:t>accesibles (</w:t>
      </w:r>
      <w:r w:rsidRPr="00611228">
        <w:rPr>
          <w:rFonts w:ascii="Arial" w:hAnsi="Arial" w:cs="Arial"/>
          <w:sz w:val="24"/>
          <w:szCs w:val="24"/>
          <w:lang w:val="es-ES"/>
        </w:rPr>
        <w:t>inclusivas</w:t>
      </w:r>
      <w:r w:rsidRPr="00611228">
        <w:rPr>
          <w:rFonts w:ascii="Arial" w:hAnsi="Arial" w:cs="Arial"/>
          <w:sz w:val="24"/>
          <w:szCs w:val="24"/>
          <w:lang w:val="es-ES"/>
        </w:rPr>
        <w:t>)</w:t>
      </w:r>
      <w:r w:rsidRPr="00611228">
        <w:rPr>
          <w:rFonts w:ascii="Arial" w:hAnsi="Arial" w:cs="Arial"/>
          <w:sz w:val="24"/>
          <w:szCs w:val="24"/>
          <w:lang w:val="es-ES"/>
        </w:rPr>
        <w:t>.</w:t>
      </w: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b/>
          <w:bCs/>
          <w:i/>
          <w:iCs/>
          <w:sz w:val="24"/>
          <w:szCs w:val="24"/>
          <w:lang w:val="es-ES"/>
        </w:rPr>
      </w:pPr>
      <w:proofErr w:type="spellStart"/>
      <w:r w:rsidRPr="00611228">
        <w:rPr>
          <w:rFonts w:ascii="Arial" w:hAnsi="Arial" w:cs="Arial"/>
          <w:b/>
          <w:bCs/>
          <w:i/>
          <w:iCs/>
          <w:sz w:val="24"/>
          <w:szCs w:val="24"/>
          <w:lang w:val="es-ES"/>
        </w:rPr>
        <w:t>Checklist</w:t>
      </w:r>
      <w:proofErr w:type="spellEnd"/>
      <w:r w:rsidRPr="00611228">
        <w:rPr>
          <w:rFonts w:ascii="Arial" w:hAnsi="Arial" w:cs="Arial"/>
          <w:b/>
          <w:bCs/>
          <w:i/>
          <w:iCs/>
          <w:sz w:val="24"/>
          <w:szCs w:val="24"/>
          <w:lang w:val="es-ES"/>
        </w:rPr>
        <w:t xml:space="preserve"> simple — WCAG 2.2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Arial" w:hAnsi="Arial" w:cs="Arial"/>
          <w:sz w:val="24"/>
          <w:szCs w:val="24"/>
          <w:lang w:val="es-ES"/>
        </w:rPr>
        <w:t xml:space="preserve">Uso rápido para equipos de diseño, contenido y desarrollo. Este 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checklist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resume puntos básicos de WCAG 2.2 AA para revisiones exprés.</w:t>
      </w:r>
    </w:p>
    <w:p w:rsidR="00F30A5C" w:rsidRPr="00611228" w:rsidRDefault="00F30A5C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F30A5C" w:rsidRPr="00611228" w:rsidRDefault="00000000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  <w:r w:rsidRPr="00611228">
        <w:rPr>
          <w:rFonts w:ascii="Arial" w:hAnsi="Arial" w:cs="Arial"/>
          <w:color w:val="53A592"/>
          <w:sz w:val="24"/>
          <w:szCs w:val="24"/>
          <w:lang w:val="es-ES"/>
        </w:rPr>
        <w:t>Estructura y navegación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Un solo H1 por página; jerarquía correcta: H1 → H2 → H3 (sin saltos).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Todo es navegable con teclado; el foco es visible en todo momento.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No hay trampas de foco ni elementos inaccesibles (menús, modales, carruseles).</w:t>
      </w: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F30A5C" w:rsidRPr="00611228" w:rsidRDefault="00000000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  <w:r w:rsidRPr="00611228">
        <w:rPr>
          <w:rFonts w:ascii="Arial" w:hAnsi="Arial" w:cs="Arial"/>
          <w:color w:val="53A592"/>
          <w:sz w:val="24"/>
          <w:szCs w:val="24"/>
          <w:lang w:val="es-ES"/>
        </w:rPr>
        <w:t>Legibilidad y contraste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Contraste suficiente en texto e íconos (incluye estados deshabilitados).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El zoom al 200% no rompe el 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layout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ni bloquea la lectura.</w:t>
      </w: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611228" w:rsidRDefault="00611228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</w:p>
    <w:p w:rsidR="00F30A5C" w:rsidRPr="00611228" w:rsidRDefault="00000000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  <w:r w:rsidRPr="00611228">
        <w:rPr>
          <w:rFonts w:ascii="Arial" w:hAnsi="Arial" w:cs="Arial"/>
          <w:color w:val="53A592"/>
          <w:sz w:val="24"/>
          <w:szCs w:val="24"/>
          <w:lang w:val="es-ES"/>
        </w:rPr>
        <w:t>Objetivos táctiles e interacción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Botones y enlaces con tamaño/espaciado cómodo (≈24×24 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px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o separación adecuada).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Sin gestos ocultos ni presiones largas obligatorias.</w:t>
      </w: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F30A5C" w:rsidRPr="00611228" w:rsidRDefault="00000000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  <w:r w:rsidRPr="00611228">
        <w:rPr>
          <w:rFonts w:ascii="Arial" w:hAnsi="Arial" w:cs="Arial"/>
          <w:color w:val="53A592"/>
          <w:sz w:val="24"/>
          <w:szCs w:val="24"/>
          <w:lang w:val="es-ES"/>
        </w:rPr>
        <w:t>Formularios y autenticación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Campos con etiquetas claras y mensajes de error útiles (no solo color).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No se solicita dos veces información ya proporcionada (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Redundant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Entry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>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Autenticación accesible (evitar recordar texto complejo como única opción).</w:t>
      </w:r>
    </w:p>
    <w:p w:rsidR="00611228" w:rsidRPr="00611228" w:rsidRDefault="00611228" w:rsidP="00611228">
      <w:pPr>
        <w:pStyle w:val="Heading2"/>
        <w:spacing w:before="120" w:line="360" w:lineRule="auto"/>
        <w:jc w:val="both"/>
        <w:rPr>
          <w:rFonts w:ascii="Arial" w:hAnsi="Arial" w:cs="Arial"/>
          <w:b w:val="0"/>
          <w:bCs w:val="0"/>
          <w:color w:val="53A592"/>
          <w:sz w:val="24"/>
          <w:szCs w:val="24"/>
          <w:lang w:val="es-ES"/>
        </w:rPr>
      </w:pPr>
    </w:p>
    <w:p w:rsidR="00F30A5C" w:rsidRPr="00611228" w:rsidRDefault="00000000" w:rsidP="00611228">
      <w:pPr>
        <w:pStyle w:val="Heading2"/>
        <w:spacing w:before="120" w:line="360" w:lineRule="auto"/>
        <w:jc w:val="both"/>
        <w:rPr>
          <w:rFonts w:ascii="Arial" w:hAnsi="Arial" w:cs="Arial"/>
          <w:color w:val="53A592"/>
          <w:sz w:val="24"/>
          <w:szCs w:val="24"/>
          <w:lang w:val="es-ES"/>
        </w:rPr>
      </w:pPr>
      <w:r w:rsidRPr="00611228">
        <w:rPr>
          <w:rFonts w:ascii="Arial" w:hAnsi="Arial" w:cs="Arial"/>
          <w:color w:val="53A592"/>
          <w:sz w:val="24"/>
          <w:szCs w:val="24"/>
          <w:lang w:val="es-ES"/>
        </w:rPr>
        <w:t>Contenido y medios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Imágenes informativas con texto alternativo (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alt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) significativo; decorativas con </w:t>
      </w:r>
      <w:proofErr w:type="spellStart"/>
      <w:r w:rsidRPr="00611228">
        <w:rPr>
          <w:rFonts w:ascii="Arial" w:hAnsi="Arial" w:cs="Arial"/>
          <w:sz w:val="24"/>
          <w:szCs w:val="24"/>
          <w:lang w:val="es-ES"/>
        </w:rPr>
        <w:t>alt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>="".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Enlaces con texto descriptivo del destino (evitar “haz clic aquí”).</w:t>
      </w:r>
    </w:p>
    <w:p w:rsidR="00F30A5C" w:rsidRPr="00611228" w:rsidRDefault="00000000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 Video/audio con subtítulos o transcripción.</w:t>
      </w:r>
    </w:p>
    <w:p w:rsidR="00611228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F30A5C" w:rsidRPr="00611228" w:rsidRDefault="00611228" w:rsidP="00611228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611228">
        <w:rPr>
          <w:rFonts w:ascii="Arial" w:hAnsi="Arial" w:cs="Arial"/>
          <w:sz w:val="24"/>
          <w:szCs w:val="24"/>
          <w:lang w:val="es-ES"/>
        </w:rPr>
        <w:t xml:space="preserve">En </w:t>
      </w:r>
      <w:r w:rsidRPr="00611228">
        <w:rPr>
          <w:rFonts w:ascii="Arial" w:hAnsi="Arial" w:cs="Arial"/>
          <w:b/>
          <w:bCs/>
          <w:color w:val="53A592"/>
          <w:sz w:val="24"/>
          <w:szCs w:val="24"/>
          <w:lang w:val="es-ES"/>
        </w:rPr>
        <w:t>AVEX Taller Creativo</w:t>
      </w:r>
      <w:r w:rsidRPr="00611228">
        <w:rPr>
          <w:rFonts w:ascii="Arial" w:hAnsi="Arial" w:cs="Arial"/>
          <w:color w:val="53A592"/>
          <w:sz w:val="24"/>
          <w:szCs w:val="24"/>
          <w:lang w:val="es-ES"/>
        </w:rPr>
        <w:t xml:space="preserve"> </w:t>
      </w:r>
      <w:r w:rsidRPr="00611228">
        <w:rPr>
          <w:rFonts w:ascii="Arial" w:hAnsi="Arial" w:cs="Arial"/>
          <w:sz w:val="24"/>
          <w:szCs w:val="24"/>
          <w:lang w:val="es-ES"/>
        </w:rPr>
        <w:t xml:space="preserve">convertimos estas pautas en práctica: auditamos pantallas clave, ajustamos tu </w:t>
      </w:r>
      <w:proofErr w:type="spellStart"/>
      <w:r>
        <w:rPr>
          <w:rFonts w:ascii="Arial" w:hAnsi="Arial" w:cs="Arial"/>
          <w:i/>
          <w:iCs/>
          <w:sz w:val="24"/>
          <w:szCs w:val="24"/>
          <w:lang w:val="es-ES"/>
        </w:rPr>
        <w:t>D</w:t>
      </w:r>
      <w:r w:rsidRPr="00611228">
        <w:rPr>
          <w:rFonts w:ascii="Arial" w:hAnsi="Arial" w:cs="Arial"/>
          <w:i/>
          <w:iCs/>
          <w:sz w:val="24"/>
          <w:szCs w:val="24"/>
          <w:lang w:val="es-ES"/>
        </w:rPr>
        <w:t>esign</w:t>
      </w:r>
      <w:proofErr w:type="spellEnd"/>
      <w:r>
        <w:rPr>
          <w:rFonts w:ascii="Arial" w:hAnsi="Arial" w:cs="Arial"/>
          <w:i/>
          <w:iCs/>
          <w:sz w:val="24"/>
          <w:szCs w:val="24"/>
          <w:lang w:val="es-ES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  <w:lang w:val="es-ES"/>
        </w:rPr>
        <w:t>S</w:t>
      </w:r>
      <w:r w:rsidRPr="00611228">
        <w:rPr>
          <w:rFonts w:ascii="Arial" w:hAnsi="Arial" w:cs="Arial"/>
          <w:i/>
          <w:iCs/>
          <w:sz w:val="24"/>
          <w:szCs w:val="24"/>
          <w:lang w:val="es-ES"/>
        </w:rPr>
        <w:t>ystem</w:t>
      </w:r>
      <w:proofErr w:type="spellEnd"/>
      <w:r w:rsidRPr="00611228">
        <w:rPr>
          <w:rFonts w:ascii="Arial" w:hAnsi="Arial" w:cs="Arial"/>
          <w:sz w:val="24"/>
          <w:szCs w:val="24"/>
          <w:lang w:val="es-ES"/>
        </w:rPr>
        <w:t xml:space="preserve"> y capacitamos a tu equipo para que la accesibilidad sea parte del proceso, no un parche final. ¿Listos para llevar su producto al siguiente nivel? Estamos aquí para acompañarlos.</w:t>
      </w:r>
    </w:p>
    <w:sectPr w:rsidR="00F30A5C" w:rsidRPr="00611228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D0F21" w:rsidRDefault="007D0F21" w:rsidP="00611228">
      <w:pPr>
        <w:spacing w:after="0" w:line="240" w:lineRule="auto"/>
      </w:pPr>
      <w:r>
        <w:separator/>
      </w:r>
    </w:p>
  </w:endnote>
  <w:endnote w:type="continuationSeparator" w:id="0">
    <w:p w:rsidR="007D0F21" w:rsidRDefault="007D0F21" w:rsidP="00611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D0F21" w:rsidRDefault="007D0F21" w:rsidP="00611228">
      <w:pPr>
        <w:spacing w:after="0" w:line="240" w:lineRule="auto"/>
      </w:pPr>
      <w:r>
        <w:separator/>
      </w:r>
    </w:p>
  </w:footnote>
  <w:footnote w:type="continuationSeparator" w:id="0">
    <w:p w:rsidR="007D0F21" w:rsidRDefault="007D0F21" w:rsidP="00611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11228" w:rsidRDefault="00611228" w:rsidP="00611228">
    <w:pPr>
      <w:pStyle w:val="Header"/>
      <w:tabs>
        <w:tab w:val="clear" w:pos="4680"/>
        <w:tab w:val="clear" w:pos="9360"/>
        <w:tab w:val="left" w:pos="3792"/>
      </w:tabs>
      <w:jc w:val="center"/>
    </w:pPr>
    <w:r w:rsidRPr="00611228">
      <w:drawing>
        <wp:inline distT="0" distB="0" distL="0" distR="0" wp14:anchorId="0B8406DF" wp14:editId="7A67FE72">
          <wp:extent cx="1955548" cy="450636"/>
          <wp:effectExtent l="0" t="0" r="635" b="0"/>
          <wp:docPr id="16656619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566198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2524" cy="4798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43506684">
    <w:abstractNumId w:val="8"/>
  </w:num>
  <w:num w:numId="2" w16cid:durableId="952787940">
    <w:abstractNumId w:val="6"/>
  </w:num>
  <w:num w:numId="3" w16cid:durableId="1308437628">
    <w:abstractNumId w:val="5"/>
  </w:num>
  <w:num w:numId="4" w16cid:durableId="260339613">
    <w:abstractNumId w:val="4"/>
  </w:num>
  <w:num w:numId="5" w16cid:durableId="540485682">
    <w:abstractNumId w:val="7"/>
  </w:num>
  <w:num w:numId="6" w16cid:durableId="1937519505">
    <w:abstractNumId w:val="3"/>
  </w:num>
  <w:num w:numId="7" w16cid:durableId="1969581575">
    <w:abstractNumId w:val="2"/>
  </w:num>
  <w:num w:numId="8" w16cid:durableId="1440294345">
    <w:abstractNumId w:val="1"/>
  </w:num>
  <w:num w:numId="9" w16cid:durableId="1915048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11228"/>
    <w:rsid w:val="007D0F21"/>
    <w:rsid w:val="00AA1D8D"/>
    <w:rsid w:val="00B47730"/>
    <w:rsid w:val="00CB0664"/>
    <w:rsid w:val="00F30A5C"/>
    <w:rsid w:val="00F4025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EBA434"/>
  <w14:defaultImageDpi w14:val="300"/>
  <w15:docId w15:val="{AB4480A9-67C7-8F40-8FDF-0B0144827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Vianney</cp:lastModifiedBy>
  <cp:revision>2</cp:revision>
  <dcterms:created xsi:type="dcterms:W3CDTF">2025-10-14T01:58:00Z</dcterms:created>
  <dcterms:modified xsi:type="dcterms:W3CDTF">2025-10-14T01:58:00Z</dcterms:modified>
  <cp:category/>
</cp:coreProperties>
</file>